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8" w:rsidRPr="00F02F59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B61856">
        <w:rPr>
          <w:rFonts w:ascii="Calibri" w:hAnsi="Calibri"/>
          <w:szCs w:val="22"/>
          <w:lang w:val="da-DK"/>
        </w:rPr>
        <w:t>Revision</w:t>
      </w:r>
      <w:r w:rsidRPr="00F02F59">
        <w:rPr>
          <w:rFonts w:ascii="Calibri" w:hAnsi="Calibri"/>
          <w:szCs w:val="22"/>
          <w:lang w:val="da-DK"/>
        </w:rPr>
        <w:t>.</w:t>
      </w:r>
    </w:p>
    <w:p w:rsidR="006D674D" w:rsidRDefault="006D674D" w:rsidP="006D674D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6D674D" w:rsidRDefault="006D674D" w:rsidP="006D674D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>
        <w:rPr>
          <w:rFonts w:ascii="Calibri" w:hAnsi="Calibri"/>
          <w:b/>
          <w:szCs w:val="22"/>
          <w:lang w:val="da-DK"/>
        </w:rPr>
        <w:t>Undervisningstid</w:t>
      </w:r>
      <w:r w:rsidR="00151015">
        <w:rPr>
          <w:rFonts w:ascii="Calibri" w:hAnsi="Calibri"/>
          <w:szCs w:val="22"/>
          <w:lang w:val="da-DK"/>
        </w:rPr>
        <w:t>:</w:t>
      </w:r>
      <w:r w:rsidR="00151015">
        <w:rPr>
          <w:rFonts w:ascii="Calibri" w:hAnsi="Calibri"/>
          <w:szCs w:val="22"/>
          <w:lang w:val="da-DK"/>
        </w:rPr>
        <w:tab/>
        <w:t>9:0</w:t>
      </w:r>
      <w:r>
        <w:rPr>
          <w:rFonts w:ascii="Calibri" w:hAnsi="Calibri"/>
          <w:szCs w:val="22"/>
          <w:lang w:val="da-DK"/>
        </w:rPr>
        <w:t>0 – 16:30</w:t>
      </w:r>
      <w:r w:rsidR="00151015">
        <w:rPr>
          <w:rFonts w:ascii="Calibri" w:hAnsi="Calibri"/>
          <w:szCs w:val="22"/>
          <w:lang w:val="da-DK"/>
        </w:rPr>
        <w:t xml:space="preserve"> (morgenmad fra kl. 8:30</w:t>
      </w:r>
      <w:r w:rsidR="0061680D">
        <w:rPr>
          <w:rFonts w:ascii="Calibri" w:hAnsi="Calibri"/>
          <w:szCs w:val="22"/>
          <w:lang w:val="da-DK"/>
        </w:rPr>
        <w:t>)</w:t>
      </w:r>
      <w:bookmarkStart w:id="1" w:name="_GoBack"/>
      <w:bookmarkEnd w:id="1"/>
      <w:r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105F1F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At give deltagerne viden om, hvordan </w:t>
      </w:r>
      <w:r w:rsidR="00105F1F">
        <w:rPr>
          <w:rFonts w:ascii="Calibri" w:hAnsi="Calibri"/>
          <w:szCs w:val="22"/>
          <w:lang w:val="da-DK"/>
        </w:rPr>
        <w:t>Revision</w:t>
      </w:r>
      <w:r w:rsidRPr="00F02F59">
        <w:rPr>
          <w:rFonts w:ascii="Calibri" w:hAnsi="Calibri"/>
          <w:szCs w:val="22"/>
          <w:lang w:val="da-DK"/>
        </w:rPr>
        <w:t xml:space="preserve"> er opbygget og fungerer. Læring om </w:t>
      </w:r>
      <w:r w:rsidR="00105F1F">
        <w:rPr>
          <w:rFonts w:ascii="Calibri" w:hAnsi="Calibri"/>
          <w:szCs w:val="22"/>
          <w:lang w:val="da-DK"/>
        </w:rPr>
        <w:t>brugen af Revision med alt fra oprettelse af opgave</w:t>
      </w:r>
      <w:r w:rsidR="00B61856">
        <w:rPr>
          <w:rFonts w:ascii="Calibri" w:hAnsi="Calibri"/>
          <w:szCs w:val="22"/>
          <w:lang w:val="da-DK"/>
        </w:rPr>
        <w:t xml:space="preserve"> til dokumentation og kontrol af</w:t>
      </w:r>
      <w:r w:rsidR="00105F1F">
        <w:rPr>
          <w:rFonts w:ascii="Calibri" w:hAnsi="Calibri"/>
          <w:szCs w:val="22"/>
          <w:lang w:val="da-DK"/>
        </w:rPr>
        <w:t xml:space="preserve"> det udførte arbejde. Gennemgangen giver samtidig viden om</w:t>
      </w:r>
      <w:r w:rsidR="00E74BF3">
        <w:rPr>
          <w:rFonts w:ascii="Calibri" w:hAnsi="Calibri"/>
          <w:szCs w:val="22"/>
          <w:lang w:val="da-DK"/>
        </w:rPr>
        <w:t>,</w:t>
      </w:r>
      <w:r w:rsidR="00105F1F">
        <w:rPr>
          <w:rFonts w:ascii="Calibri" w:hAnsi="Calibri"/>
          <w:szCs w:val="22"/>
          <w:lang w:val="da-DK"/>
        </w:rPr>
        <w:t xml:space="preserve"> hvor der kan oprettes egne tekster og </w:t>
      </w:r>
      <w:r w:rsidR="00B61856">
        <w:rPr>
          <w:rFonts w:ascii="Calibri" w:hAnsi="Calibri"/>
          <w:szCs w:val="22"/>
          <w:lang w:val="da-DK"/>
        </w:rPr>
        <w:t xml:space="preserve">tilpassede </w:t>
      </w:r>
      <w:r w:rsidR="00105F1F">
        <w:rPr>
          <w:rFonts w:ascii="Calibri" w:hAnsi="Calibri"/>
          <w:szCs w:val="22"/>
          <w:lang w:val="da-DK"/>
        </w:rPr>
        <w:t>skabelon</w:t>
      </w:r>
      <w:r w:rsidR="00B61856">
        <w:rPr>
          <w:rFonts w:ascii="Calibri" w:hAnsi="Calibri"/>
          <w:szCs w:val="22"/>
          <w:lang w:val="da-DK"/>
        </w:rPr>
        <w:t>er.</w:t>
      </w:r>
    </w:p>
    <w:p w:rsidR="00105F1F" w:rsidRDefault="00105F1F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F56C33" w:rsidRPr="00F02F59" w:rsidRDefault="00F56C33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151015">
        <w:rPr>
          <w:rFonts w:asciiTheme="minorHAnsi" w:hAnsiTheme="minorHAnsi"/>
          <w:szCs w:val="22"/>
          <w:lang w:val="da-DK"/>
        </w:rPr>
        <w:tab/>
      </w:r>
      <w:r>
        <w:rPr>
          <w:rFonts w:asciiTheme="minorHAnsi" w:hAnsiTheme="minorHAnsi"/>
          <w:szCs w:val="22"/>
          <w:lang w:val="da-DK"/>
        </w:rPr>
        <w:t>Ny bruger</w:t>
      </w:r>
      <w:r w:rsidR="00E74BF3">
        <w:rPr>
          <w:rFonts w:asciiTheme="minorHAnsi" w:hAnsiTheme="minorHAnsi"/>
          <w:szCs w:val="22"/>
          <w:lang w:val="da-DK"/>
        </w:rPr>
        <w:t>, som ønsker at lære</w:t>
      </w:r>
      <w:r>
        <w:rPr>
          <w:rFonts w:asciiTheme="minorHAnsi" w:hAnsiTheme="minorHAnsi"/>
          <w:szCs w:val="22"/>
          <w:lang w:val="da-DK"/>
        </w:rPr>
        <w:t xml:space="preserve"> at bruge Revision, eller eksisterende bruger</w:t>
      </w:r>
      <w:r w:rsidR="00E74BF3">
        <w:rPr>
          <w:rFonts w:asciiTheme="minorHAnsi" w:hAnsiTheme="minorHAnsi"/>
          <w:szCs w:val="22"/>
          <w:lang w:val="da-DK"/>
        </w:rPr>
        <w:t>,</w:t>
      </w:r>
      <w:r>
        <w:rPr>
          <w:rFonts w:asciiTheme="minorHAnsi" w:hAnsiTheme="minorHAnsi"/>
          <w:szCs w:val="22"/>
          <w:lang w:val="da-DK"/>
        </w:rPr>
        <w:t xml:space="preserve"> som ønsker at blive mere fortrolig med Revision.</w:t>
      </w:r>
    </w:p>
    <w:p w:rsidR="00F56C33" w:rsidRPr="00F02F59" w:rsidRDefault="00F56C33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105F1F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F56C33">
        <w:rPr>
          <w:rFonts w:asciiTheme="minorHAnsi" w:hAnsiTheme="minorHAnsi"/>
          <w:szCs w:val="22"/>
          <w:lang w:val="da-DK"/>
        </w:rPr>
        <w:t>Have kenskab til de mest grundlæggende principper inden for Revision</w:t>
      </w:r>
      <w:r w:rsidR="00E74BF3">
        <w:rPr>
          <w:rFonts w:asciiTheme="minorHAnsi" w:hAnsiTheme="minorHAnsi"/>
          <w:szCs w:val="22"/>
          <w:lang w:val="da-DK"/>
        </w:rPr>
        <w:t>,</w:t>
      </w:r>
      <w:r w:rsidR="00F56C33">
        <w:rPr>
          <w:rFonts w:asciiTheme="minorHAnsi" w:hAnsiTheme="minorHAnsi"/>
          <w:szCs w:val="22"/>
          <w:lang w:val="da-DK"/>
        </w:rPr>
        <w:t xml:space="preserve"> samt have stiftet bekendtskab med programmet Revision.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Kurset indeholder </w:t>
      </w:r>
      <w:r w:rsidR="00673D8D">
        <w:rPr>
          <w:rFonts w:ascii="Calibri" w:hAnsi="Calibri"/>
          <w:szCs w:val="22"/>
          <w:lang w:val="da-DK"/>
        </w:rPr>
        <w:t xml:space="preserve">bl.a. </w:t>
      </w:r>
      <w:r w:rsidRPr="00F02F59">
        <w:rPr>
          <w:rFonts w:ascii="Calibri" w:hAnsi="Calibri"/>
          <w:szCs w:val="22"/>
          <w:lang w:val="da-DK"/>
        </w:rPr>
        <w:t>følgende emner:</w:t>
      </w:r>
    </w:p>
    <w:p w:rsidR="00A16598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Brugergrænsefladen og tankegangen i programmet.</w:t>
      </w:r>
    </w:p>
    <w:p w:rsidR="00AB748E" w:rsidRDefault="00AB748E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Igangsætning af revisionsopgaven.</w:t>
      </w:r>
    </w:p>
    <w:p w:rsidR="00AB748E" w:rsidRDefault="00AB748E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Import af dokumenter og håndtering af disse.</w:t>
      </w:r>
    </w:p>
    <w:p w:rsidR="00AB748E" w:rsidRDefault="00AB748E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Oprettelse af egne tekstskabeloner.</w:t>
      </w:r>
    </w:p>
    <w:p w:rsidR="00AB748E" w:rsidRDefault="00AB748E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Oprettelse af egen klientstandarder.</w:t>
      </w:r>
    </w:p>
    <w:p w:rsidR="00AB748E" w:rsidRDefault="00AB748E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Indledende planlægning og forståelse af klienten</w:t>
      </w:r>
      <w:r w:rsidR="00673D8D">
        <w:rPr>
          <w:rFonts w:ascii="Calibri" w:hAnsi="Calibri"/>
          <w:sz w:val="22"/>
          <w:szCs w:val="22"/>
        </w:rPr>
        <w:t>.</w:t>
      </w:r>
    </w:p>
    <w:p w:rsidR="00AB748E" w:rsidRDefault="00AB748E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Væsentlighedsniveau og tilpasning af </w:t>
      </w:r>
      <w:r w:rsidR="00673D8D">
        <w:rPr>
          <w:rFonts w:ascii="Calibri" w:hAnsi="Calibri"/>
          <w:sz w:val="22"/>
          <w:szCs w:val="22"/>
        </w:rPr>
        <w:t>substandshandlinger.</w:t>
      </w:r>
    </w:p>
    <w:p w:rsidR="00673D8D" w:rsidRDefault="00673D8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Udførelse og dokumentation af udførte substandshandlinger.</w:t>
      </w:r>
    </w:p>
    <w:p w:rsidR="00673D8D" w:rsidRDefault="00673D8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Konklusion af revisionsområdet og videre rapportering.</w:t>
      </w:r>
    </w:p>
    <w:p w:rsidR="00673D8D" w:rsidRDefault="00673D8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Opsamling af noteringer og udarbejdelse af samlet konklusion med der af mulige konsekvenser for planlægningen for næste år.</w:t>
      </w:r>
    </w:p>
    <w:p w:rsidR="00673D8D" w:rsidRDefault="00673D8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Godkendelsesprocedurer.</w:t>
      </w:r>
    </w:p>
    <w:p w:rsidR="00673D8D" w:rsidRDefault="00673D8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Kvalitetssikring af det udførte arbejde for den ansvarlige.</w:t>
      </w:r>
    </w:p>
    <w:p w:rsidR="00673D8D" w:rsidRDefault="00673D8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Udskriftsmuligheder.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Kursusform: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Foredrag og praktiske øvelser med anvendelse af </w:t>
      </w:r>
      <w:r w:rsidR="00105F1F">
        <w:rPr>
          <w:rFonts w:ascii="Calibri" w:hAnsi="Calibri"/>
          <w:szCs w:val="22"/>
          <w:lang w:val="da-DK"/>
        </w:rPr>
        <w:t>Revision</w:t>
      </w:r>
      <w:r w:rsidR="00AB748E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DE4CDB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>
        <w:rPr>
          <w:rFonts w:ascii="Calibri" w:hAnsi="Calibri"/>
          <w:szCs w:val="22"/>
          <w:lang w:val="da-DK"/>
        </w:rPr>
        <w:tab/>
        <w:t>Det er ikke en forudsætning</w:t>
      </w:r>
      <w:r w:rsidR="00E74BF3">
        <w:rPr>
          <w:rFonts w:ascii="Calibri" w:hAnsi="Calibri"/>
          <w:szCs w:val="22"/>
          <w:lang w:val="da-DK"/>
        </w:rPr>
        <w:t>, at</w:t>
      </w:r>
      <w:r>
        <w:rPr>
          <w:rFonts w:ascii="Calibri" w:hAnsi="Calibri"/>
          <w:szCs w:val="22"/>
          <w:lang w:val="da-DK"/>
        </w:rPr>
        <w:t xml:space="preserve"> </w:t>
      </w:r>
      <w:r w:rsidR="0078739B">
        <w:rPr>
          <w:rFonts w:ascii="Calibri" w:hAnsi="Calibri"/>
          <w:szCs w:val="22"/>
          <w:lang w:val="da-DK"/>
        </w:rPr>
        <w:t>Revision</w:t>
      </w:r>
      <w:r w:rsidR="00A16598" w:rsidRPr="00F02F59">
        <w:rPr>
          <w:rFonts w:ascii="Calibri" w:hAnsi="Calibri"/>
          <w:szCs w:val="22"/>
          <w:lang w:val="da-DK"/>
        </w:rPr>
        <w:t xml:space="preserve"> ligger på egen computer, idet undervisningen vil foregå på opkobling til virtuel server</w:t>
      </w:r>
      <w:r w:rsidR="00A16598" w:rsidRPr="00976496">
        <w:rPr>
          <w:rFonts w:ascii="Calibri" w:hAnsi="Calibri"/>
          <w:vertAlign w:val="superscript"/>
          <w:lang w:val="da-DK"/>
        </w:rPr>
        <w:footnoteReference w:id="1"/>
      </w:r>
      <w:r w:rsidR="00976496">
        <w:rPr>
          <w:rFonts w:ascii="Calibri" w:hAnsi="Calibri"/>
          <w:szCs w:val="22"/>
          <w:lang w:val="da-DK"/>
        </w:rPr>
        <w:t xml:space="preserve"> hos Wolters Kluwer.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151015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AB748E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AB748E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2F" w:rsidRDefault="00FB0F2F">
      <w:r>
        <w:separator/>
      </w:r>
    </w:p>
  </w:endnote>
  <w:endnote w:type="continuationSeparator" w:id="0">
    <w:p w:rsidR="00FB0F2F" w:rsidRDefault="00F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2F" w:rsidRDefault="00FB0F2F">
      <w:r>
        <w:separator/>
      </w:r>
    </w:p>
  </w:footnote>
  <w:footnote w:type="continuationSeparator" w:id="0">
    <w:p w:rsidR="00FB0F2F" w:rsidRDefault="00FB0F2F">
      <w:r>
        <w:continuationSeparator/>
      </w:r>
    </w:p>
  </w:footnote>
  <w:footnote w:id="1">
    <w:p w:rsidR="00A16598" w:rsidRPr="00976496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="00E74BF3">
        <w:rPr>
          <w:rFonts w:asciiTheme="minorHAnsi" w:hAnsiTheme="minorHAnsi"/>
          <w:sz w:val="16"/>
          <w:szCs w:val="16"/>
          <w:lang w:val="da-DK"/>
        </w:rPr>
        <w:t xml:space="preserve"> Det er en god ide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at kontrollere brugerrettighe</w:t>
      </w:r>
      <w:r w:rsidR="00E74BF3">
        <w:rPr>
          <w:rFonts w:asciiTheme="minorHAnsi" w:hAnsiTheme="minorHAnsi"/>
          <w:sz w:val="16"/>
          <w:szCs w:val="16"/>
          <w:lang w:val="da-DK"/>
        </w:rPr>
        <w:t>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E74BF3">
        <w:rPr>
          <w:rFonts w:asciiTheme="minorHAnsi" w:hAnsiTheme="minorHAnsi"/>
          <w:sz w:val="16"/>
          <w:szCs w:val="16"/>
          <w:lang w:val="da-DK"/>
        </w:rPr>
        <w:t>,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8F43DA" w:rsidRPr="00976496">
        <w:rPr>
          <w:rFonts w:asciiTheme="minorHAnsi" w:hAnsiTheme="minorHAnsi"/>
          <w:sz w:val="16"/>
          <w:szCs w:val="16"/>
          <w:lang w:val="da-DK"/>
        </w:rPr>
        <w:t>Wolters Kluwer Danmark A/S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 rådgiver ikke om opkobling til fjernskrivebord.</w:t>
      </w:r>
    </w:p>
    <w:p w:rsidR="00976496" w:rsidRPr="006C6D77" w:rsidRDefault="00976496" w:rsidP="00976496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>
        <w:rPr>
          <w:rFonts w:asciiTheme="minorHAnsi" w:hAnsiTheme="minorHAnsi"/>
          <w:sz w:val="16"/>
          <w:szCs w:val="16"/>
          <w:lang w:val="da-DK"/>
        </w:rPr>
        <w:t>Windows version, der opdateringsmæssigt understøttes af Microsoft.</w:t>
      </w:r>
    </w:p>
    <w:p w:rsidR="00A16598" w:rsidRDefault="00A16598" w:rsidP="00A1659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1658D"/>
    <w:rsid w:val="0003619B"/>
    <w:rsid w:val="00041DF4"/>
    <w:rsid w:val="00070B2A"/>
    <w:rsid w:val="00085888"/>
    <w:rsid w:val="000C3C05"/>
    <w:rsid w:val="00105F1F"/>
    <w:rsid w:val="00110664"/>
    <w:rsid w:val="00151015"/>
    <w:rsid w:val="001608C7"/>
    <w:rsid w:val="00164B6C"/>
    <w:rsid w:val="0017710F"/>
    <w:rsid w:val="001C7733"/>
    <w:rsid w:val="001D395A"/>
    <w:rsid w:val="001D3F3A"/>
    <w:rsid w:val="0022474F"/>
    <w:rsid w:val="002379E6"/>
    <w:rsid w:val="0026654B"/>
    <w:rsid w:val="00267DEA"/>
    <w:rsid w:val="00270453"/>
    <w:rsid w:val="002958CC"/>
    <w:rsid w:val="002B7D8C"/>
    <w:rsid w:val="002F2289"/>
    <w:rsid w:val="00320137"/>
    <w:rsid w:val="0035314E"/>
    <w:rsid w:val="003653B4"/>
    <w:rsid w:val="003B092E"/>
    <w:rsid w:val="003B71C1"/>
    <w:rsid w:val="00440705"/>
    <w:rsid w:val="004A37D8"/>
    <w:rsid w:val="004D2DDC"/>
    <w:rsid w:val="004D74F3"/>
    <w:rsid w:val="00510D84"/>
    <w:rsid w:val="005508CC"/>
    <w:rsid w:val="00563900"/>
    <w:rsid w:val="00573C24"/>
    <w:rsid w:val="005B3FA9"/>
    <w:rsid w:val="005E1BEE"/>
    <w:rsid w:val="0061680D"/>
    <w:rsid w:val="00673D8D"/>
    <w:rsid w:val="006938DF"/>
    <w:rsid w:val="006D674D"/>
    <w:rsid w:val="006F6648"/>
    <w:rsid w:val="007245C9"/>
    <w:rsid w:val="007317EF"/>
    <w:rsid w:val="007366ED"/>
    <w:rsid w:val="00751A07"/>
    <w:rsid w:val="00762673"/>
    <w:rsid w:val="0078739B"/>
    <w:rsid w:val="00793FA4"/>
    <w:rsid w:val="007A6A23"/>
    <w:rsid w:val="007E33D7"/>
    <w:rsid w:val="007F2095"/>
    <w:rsid w:val="008050E2"/>
    <w:rsid w:val="0081177C"/>
    <w:rsid w:val="00862AAD"/>
    <w:rsid w:val="00866C90"/>
    <w:rsid w:val="0088674B"/>
    <w:rsid w:val="00891655"/>
    <w:rsid w:val="008C16A9"/>
    <w:rsid w:val="008F43DA"/>
    <w:rsid w:val="008F7F03"/>
    <w:rsid w:val="00905B76"/>
    <w:rsid w:val="009122E1"/>
    <w:rsid w:val="00920F8E"/>
    <w:rsid w:val="009334E7"/>
    <w:rsid w:val="009411F1"/>
    <w:rsid w:val="0094520C"/>
    <w:rsid w:val="00965649"/>
    <w:rsid w:val="00972D7E"/>
    <w:rsid w:val="00976496"/>
    <w:rsid w:val="009F070C"/>
    <w:rsid w:val="00A16598"/>
    <w:rsid w:val="00A36113"/>
    <w:rsid w:val="00A46216"/>
    <w:rsid w:val="00A63076"/>
    <w:rsid w:val="00A95C25"/>
    <w:rsid w:val="00A962E2"/>
    <w:rsid w:val="00AB748E"/>
    <w:rsid w:val="00AE34EF"/>
    <w:rsid w:val="00AF402E"/>
    <w:rsid w:val="00B61856"/>
    <w:rsid w:val="00B71760"/>
    <w:rsid w:val="00BC2118"/>
    <w:rsid w:val="00BC24A0"/>
    <w:rsid w:val="00BC2C94"/>
    <w:rsid w:val="00BD32FD"/>
    <w:rsid w:val="00C00971"/>
    <w:rsid w:val="00C02DE6"/>
    <w:rsid w:val="00C438DC"/>
    <w:rsid w:val="00C60C9C"/>
    <w:rsid w:val="00C610DA"/>
    <w:rsid w:val="00C82552"/>
    <w:rsid w:val="00CA0560"/>
    <w:rsid w:val="00CF2CA7"/>
    <w:rsid w:val="00D068D4"/>
    <w:rsid w:val="00D17F9B"/>
    <w:rsid w:val="00D32F7D"/>
    <w:rsid w:val="00D3412A"/>
    <w:rsid w:val="00D43D9D"/>
    <w:rsid w:val="00DD2D4E"/>
    <w:rsid w:val="00DD3D57"/>
    <w:rsid w:val="00DE4CDB"/>
    <w:rsid w:val="00E02D42"/>
    <w:rsid w:val="00E12E8B"/>
    <w:rsid w:val="00E74BF3"/>
    <w:rsid w:val="00E8658C"/>
    <w:rsid w:val="00EE7AC9"/>
    <w:rsid w:val="00EF32F8"/>
    <w:rsid w:val="00EF66BC"/>
    <w:rsid w:val="00F02F59"/>
    <w:rsid w:val="00F421CF"/>
    <w:rsid w:val="00F4603A"/>
    <w:rsid w:val="00F56C33"/>
    <w:rsid w:val="00F96335"/>
    <w:rsid w:val="00FB0F2F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44</TotalTime>
  <Pages>1</Pages>
  <Words>247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NJ</vt:lpstr>
    </vt:vector>
  </TitlesOfParts>
  <Company>Norstedts Juridik AB</Company>
  <LinksUpToDate>false</LinksUpToDate>
  <CharactersWithSpaces>1751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15</cp:revision>
  <cp:lastPrinted>2018-04-12T13:18:00Z</cp:lastPrinted>
  <dcterms:created xsi:type="dcterms:W3CDTF">2016-05-24T10:48:00Z</dcterms:created>
  <dcterms:modified xsi:type="dcterms:W3CDTF">2018-04-16T12:53:00Z</dcterms:modified>
  <cp:category>Mallar</cp:category>
</cp:coreProperties>
</file>